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40" w:lineRule="auto"/>
        <w:ind w:firstLine="480"/>
        <w:rPr>
          <w:rFonts w:hint="eastAsia" w:ascii="仿宋_GB2312" w:hAnsi="仿宋_GB2312" w:eastAsia="仿宋_GB2312" w:cs="仿宋_GB2312"/>
          <w:color w:val="000000"/>
          <w:kern w:val="0"/>
          <w:sz w:val="32"/>
          <w:szCs w:val="32"/>
        </w:rPr>
      </w:pPr>
      <w:bookmarkStart w:id="0" w:name="_Toc17272"/>
      <w:bookmarkStart w:id="1" w:name="_Toc350426921"/>
      <w:bookmarkStart w:id="2" w:name="_Toc287544115"/>
      <w:r>
        <w:rPr>
          <w:rFonts w:hint="eastAsia" w:ascii="仿宋_GB2312" w:hAnsi="仿宋_GB2312" w:eastAsia="仿宋_GB2312" w:cs="仿宋_GB2312"/>
          <w:color w:val="000000"/>
          <w:kern w:val="0"/>
          <w:sz w:val="32"/>
          <w:szCs w:val="32"/>
        </w:rPr>
        <w:t>第三章  财务管理制度</w:t>
      </w:r>
      <w:bookmarkEnd w:id="0"/>
      <w:bookmarkEnd w:id="1"/>
      <w:bookmarkEnd w:id="2"/>
    </w:p>
    <w:p>
      <w:pPr>
        <w:pStyle w:val="2"/>
        <w:spacing w:line="240" w:lineRule="auto"/>
        <w:ind w:firstLine="480"/>
        <w:jc w:val="center"/>
        <w:rPr>
          <w:rFonts w:hint="eastAsia" w:ascii="仿宋_GB2312" w:hAnsi="仿宋_GB2312" w:eastAsia="仿宋_GB2312" w:cs="仿宋_GB2312"/>
          <w:color w:val="000000"/>
          <w:kern w:val="0"/>
          <w:sz w:val="30"/>
          <w:szCs w:val="30"/>
        </w:rPr>
      </w:pPr>
      <w:bookmarkStart w:id="3" w:name="_Toc287544116"/>
      <w:bookmarkStart w:id="4" w:name="_Toc350426922"/>
      <w:bookmarkStart w:id="5" w:name="_Toc5066"/>
      <w:r>
        <w:rPr>
          <w:rFonts w:hint="eastAsia" w:ascii="仿宋_GB2312" w:hAnsi="仿宋_GB2312" w:eastAsia="仿宋_GB2312" w:cs="仿宋_GB2312"/>
          <w:color w:val="000000"/>
          <w:kern w:val="0"/>
          <w:sz w:val="30"/>
          <w:szCs w:val="30"/>
        </w:rPr>
        <w:t>第一节  经费来源制度</w:t>
      </w:r>
      <w:bookmarkEnd w:id="3"/>
      <w:bookmarkEnd w:id="4"/>
      <w:bookmarkEnd w:id="5"/>
    </w:p>
    <w:p>
      <w:pPr>
        <w:spacing w:line="276" w:lineRule="auto"/>
        <w:ind w:left="420"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根据《华南理工大学学生会章程》规定，本会经费来自：</w:t>
      </w:r>
    </w:p>
    <w:p>
      <w:pPr>
        <w:keepNext w:val="0"/>
        <w:keepLines w:val="0"/>
        <w:pageBreakBefore w:val="0"/>
        <w:widowControl w:val="0"/>
        <w:numPr>
          <w:ilvl w:val="0"/>
          <w:numId w:val="1"/>
        </w:numPr>
        <w:kinsoku/>
        <w:wordWrap/>
        <w:overflowPunct/>
        <w:topLinePunct w:val="0"/>
        <w:autoSpaceDE/>
        <w:autoSpaceDN/>
        <w:bidi w:val="0"/>
        <w:adjustRightInd/>
        <w:snapToGrid/>
        <w:spacing w:after="156" w:afterLines="50" w:line="276" w:lineRule="auto"/>
        <w:ind w:left="437" w:leftChars="0"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学校拨款；</w:t>
      </w:r>
    </w:p>
    <w:p>
      <w:pPr>
        <w:pStyle w:val="6"/>
        <w:keepNext w:val="0"/>
        <w:keepLines w:val="0"/>
        <w:pageBreakBefore w:val="0"/>
        <w:widowControl w:val="0"/>
        <w:numPr>
          <w:ilvl w:val="0"/>
          <w:numId w:val="1"/>
        </w:numPr>
        <w:kinsoku/>
        <w:wordWrap/>
        <w:overflowPunct/>
        <w:topLinePunct w:val="0"/>
        <w:autoSpaceDE/>
        <w:autoSpaceDN/>
        <w:bidi w:val="0"/>
        <w:adjustRightInd/>
        <w:snapToGrid/>
        <w:spacing w:after="156" w:afterLines="50" w:line="276" w:lineRule="auto"/>
        <w:ind w:left="437" w:leftChars="0"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社会资助及其它合理收入经主席审核后直接交账务、财务主管入账，任何人不得收取任何数量或形式的回扣。</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437" w:leftChars="0"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注：除学校拨款由学院按实际情况发放外，其余经费必须纳入本会账户，生活部负责统计后转交团委老师集中管理，具体使用由生活部负责并做好报账的明细登记。</w:t>
      </w:r>
    </w:p>
    <w:p>
      <w:pPr>
        <w:spacing w:line="276" w:lineRule="auto"/>
        <w:ind w:firstLine="480"/>
        <w:rPr>
          <w:rFonts w:hint="eastAsia" w:ascii="仿宋_GB2312" w:hAnsi="仿宋_GB2312" w:eastAsia="仿宋_GB2312" w:cs="仿宋_GB2312"/>
          <w:color w:val="000000"/>
          <w:sz w:val="24"/>
        </w:rPr>
      </w:pPr>
      <w:bookmarkStart w:id="6" w:name="_Toc287544117"/>
    </w:p>
    <w:p>
      <w:pPr>
        <w:pStyle w:val="2"/>
        <w:spacing w:line="240" w:lineRule="auto"/>
        <w:ind w:firstLine="480"/>
        <w:jc w:val="center"/>
        <w:rPr>
          <w:rFonts w:hint="eastAsia" w:ascii="仿宋_GB2312" w:hAnsi="仿宋_GB2312" w:eastAsia="仿宋_GB2312" w:cs="仿宋_GB2312"/>
          <w:color w:val="000000"/>
          <w:kern w:val="0"/>
          <w:sz w:val="30"/>
          <w:szCs w:val="30"/>
        </w:rPr>
      </w:pPr>
      <w:bookmarkStart w:id="7" w:name="_Toc17650"/>
      <w:bookmarkStart w:id="8" w:name="_Toc350426923"/>
      <w:r>
        <w:rPr>
          <w:rFonts w:hint="eastAsia" w:ascii="仿宋_GB2312" w:hAnsi="仿宋_GB2312" w:eastAsia="仿宋_GB2312" w:cs="仿宋_GB2312"/>
          <w:color w:val="000000"/>
          <w:kern w:val="0"/>
          <w:sz w:val="30"/>
          <w:szCs w:val="30"/>
        </w:rPr>
        <w:t>第二节  经费申请制度</w:t>
      </w:r>
      <w:bookmarkEnd w:id="6"/>
      <w:bookmarkEnd w:id="7"/>
      <w:bookmarkEnd w:id="8"/>
    </w:p>
    <w:p>
      <w:pPr>
        <w:spacing w:after="187"/>
        <w:ind w:left="315" w:leftChars="150"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为了保证团委学生会各部门工作和活动的正常展开，使团委学生会的经费都用得其所，同时使团委学生会的工作进一步规范化，现将我院团委学生会申请报账制度公布如下：</w:t>
      </w:r>
    </w:p>
    <w:p>
      <w:pPr>
        <w:spacing w:after="187"/>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（一）经费申请报账</w:t>
      </w:r>
    </w:p>
    <w:p>
      <w:pPr>
        <w:spacing w:after="187"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一、活动经费申请报账：</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在开展大型活动前，负责人要先根据活动策划列出所需的大概开支，交与常委审批、签名。负责部门根据审批下来的经费购买物品，否则不予报账。</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2. 负责人在活动结束后一周内将实际活动开支列成清单（手写版），连同发票一起交与主管常委签名，经常委签名证明后将发票拿到生活部财务主管处报账，否则不予报账。           </w:t>
      </w:r>
    </w:p>
    <w:p>
      <w:pPr>
        <w:spacing w:after="187" w:line="276" w:lineRule="auto"/>
        <w:ind w:left="360" w:hanging="360" w:hangingChars="150"/>
        <w:rPr>
          <w:rFonts w:hint="eastAsia" w:ascii="仿宋_GB2312" w:hAnsi="仿宋_GB2312" w:eastAsia="仿宋_GB2312" w:cs="仿宋_GB2312"/>
          <w:b/>
          <w:color w:val="000000"/>
          <w:sz w:val="24"/>
        </w:rPr>
      </w:pPr>
      <w:r>
        <w:rPr>
          <w:rFonts w:hint="eastAsia" w:ascii="仿宋_GB2312" w:hAnsi="仿宋_GB2312" w:eastAsia="仿宋_GB2312" w:cs="仿宋_GB2312"/>
          <w:color w:val="000000"/>
          <w:sz w:val="24"/>
        </w:rPr>
        <w:t>3. 时间：</w:t>
      </w:r>
    </w:p>
    <w:p>
      <w:pPr>
        <w:keepNext w:val="0"/>
        <w:keepLines w:val="0"/>
        <w:pageBreakBefore w:val="0"/>
        <w:widowControl w:val="0"/>
        <w:kinsoku/>
        <w:wordWrap/>
        <w:overflowPunct/>
        <w:topLinePunct w:val="0"/>
        <w:autoSpaceDE/>
        <w:autoSpaceDN/>
        <w:bidi w:val="0"/>
        <w:adjustRightInd/>
        <w:snapToGrid/>
        <w:spacing w:after="187" w:line="276" w:lineRule="auto"/>
        <w:ind w:left="309" w:leftChars="147" w:right="0" w:rightChars="0" w:firstLine="48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报账实行一月一结。部门活动结束后一天内整理好要报账的明细清单，发票上写明经手人和证明人（经手人与证明人须是不同人的签名），交到生活部处：生活部在每个月的最后一个星期的周一、周二到团委老师处报账。</w:t>
      </w:r>
    </w:p>
    <w:p>
      <w:pPr>
        <w:keepNext w:val="0"/>
        <w:keepLines w:val="0"/>
        <w:pageBreakBefore w:val="0"/>
        <w:widowControl w:val="0"/>
        <w:kinsoku/>
        <w:wordWrap/>
        <w:overflowPunct/>
        <w:topLinePunct w:val="0"/>
        <w:autoSpaceDE/>
        <w:autoSpaceDN/>
        <w:bidi w:val="0"/>
        <w:adjustRightInd/>
        <w:snapToGrid/>
        <w:spacing w:after="187" w:line="276" w:lineRule="auto"/>
        <w:ind w:left="359" w:leftChars="114" w:right="0" w:rightChars="0" w:hanging="120" w:hangingChars="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二、各部门定期报账</w:t>
      </w:r>
    </w:p>
    <w:p>
      <w:pPr>
        <w:keepNext w:val="0"/>
        <w:keepLines w:val="0"/>
        <w:pageBreakBefore w:val="0"/>
        <w:widowControl w:val="0"/>
        <w:kinsoku/>
        <w:wordWrap/>
        <w:overflowPunct/>
        <w:topLinePunct w:val="0"/>
        <w:autoSpaceDE/>
        <w:autoSpaceDN/>
        <w:bidi w:val="0"/>
        <w:adjustRightInd/>
        <w:snapToGrid/>
        <w:spacing w:after="187" w:line="276" w:lineRule="auto"/>
        <w:ind w:left="360" w:right="0" w:rightChars="0" w:hanging="360" w:hanging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报账周期为一个月，时间为每个月的最后一个星期的周一、周二。</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每个部门找一位负责人，统计本月本部门开支（一般为部门常规活动的开支，例如公宣部购买颜料等），将部门在本月的常规活动，琐碎开支列成清单（电子版，手写版各一份），每月在生活部报账前连同发票一起交与生活部</w:t>
      </w:r>
      <w:r>
        <w:rPr>
          <w:rFonts w:hint="eastAsia" w:ascii="仿宋_GB2312" w:hAnsi="仿宋_GB2312" w:eastAsia="仿宋_GB2312" w:cs="仿宋_GB2312"/>
          <w:color w:val="000000"/>
          <w:sz w:val="24"/>
          <w:highlight w:val="white"/>
        </w:rPr>
        <w:t>相关负责人</w:t>
      </w:r>
      <w:r>
        <w:rPr>
          <w:rFonts w:hint="eastAsia" w:ascii="仿宋_GB2312" w:hAnsi="仿宋_GB2312" w:eastAsia="仿宋_GB2312" w:cs="仿宋_GB2312"/>
          <w:color w:val="000000"/>
          <w:sz w:val="24"/>
        </w:rPr>
        <w:t>处。</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3. </w:t>
      </w:r>
      <w:r>
        <w:rPr>
          <w:rFonts w:hint="eastAsia" w:ascii="仿宋_GB2312" w:hAnsi="仿宋_GB2312" w:eastAsia="仿宋_GB2312" w:cs="仿宋_GB2312"/>
          <w:b/>
          <w:color w:val="000000"/>
          <w:sz w:val="24"/>
        </w:rPr>
        <w:t>若逾期未报账的，归入下个月统一报账</w:t>
      </w:r>
      <w:r>
        <w:rPr>
          <w:rFonts w:hint="eastAsia" w:ascii="仿宋_GB2312" w:hAnsi="仿宋_GB2312" w:eastAsia="仿宋_GB2312" w:cs="仿宋_GB2312"/>
          <w:color w:val="000000"/>
          <w:sz w:val="24"/>
        </w:rPr>
        <w:t>。</w:t>
      </w:r>
    </w:p>
    <w:p>
      <w:pPr>
        <w:spacing w:after="187"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三、报账具体要求：</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报账一律使用</w:t>
      </w:r>
      <w:r>
        <w:rPr>
          <w:rFonts w:hint="eastAsia" w:ascii="仿宋_GB2312" w:hAnsi="仿宋_GB2312" w:eastAsia="仿宋_GB2312" w:cs="仿宋_GB2312"/>
          <w:b/>
          <w:color w:val="000000"/>
          <w:sz w:val="24"/>
          <w:u w:val="single"/>
        </w:rPr>
        <w:t>正式发票</w:t>
      </w:r>
      <w:r>
        <w:rPr>
          <w:rFonts w:hint="eastAsia" w:ascii="仿宋_GB2312" w:hAnsi="仿宋_GB2312" w:eastAsia="仿宋_GB2312" w:cs="仿宋_GB2312"/>
          <w:color w:val="000000"/>
          <w:sz w:val="24"/>
        </w:rPr>
        <w:t>（收据一律不予报账）。任何开支原则上必须开发票，发票单位应为华南理工大学，并如实反映开票日期。开票的商家必须是广州市的商家，开票内容为具体到某一项的体育用品，某一项的办公用品（笔、纸），矿泉水或购买物品明细等（发票内容必须详细列出，食品不能报销），或者直接使用标准发票（连票）。</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报账前必须用黑色钢笔或圆珠笔在发票背面左上角写明活动</w:t>
      </w:r>
      <w:r>
        <w:rPr>
          <w:rFonts w:hint="eastAsia" w:ascii="仿宋_GB2312" w:hAnsi="仿宋_GB2312" w:eastAsia="仿宋_GB2312" w:cs="仿宋_GB2312"/>
          <w:b/>
          <w:color w:val="000000"/>
          <w:sz w:val="24"/>
          <w:u w:val="single"/>
        </w:rPr>
        <w:t>承办部门、活动名称</w:t>
      </w:r>
      <w:r>
        <w:rPr>
          <w:rFonts w:hint="eastAsia" w:ascii="仿宋_GB2312" w:hAnsi="仿宋_GB2312" w:eastAsia="仿宋_GB2312" w:cs="仿宋_GB2312"/>
          <w:color w:val="000000"/>
          <w:sz w:val="24"/>
        </w:rPr>
        <w:t>和</w:t>
      </w:r>
      <w:r>
        <w:rPr>
          <w:rFonts w:hint="eastAsia" w:ascii="仿宋_GB2312" w:hAnsi="仿宋_GB2312" w:eastAsia="仿宋_GB2312" w:cs="仿宋_GB2312"/>
          <w:b/>
          <w:color w:val="000000"/>
          <w:sz w:val="24"/>
          <w:u w:val="single"/>
        </w:rPr>
        <w:t>经手人和证明人</w:t>
      </w:r>
      <w:r>
        <w:rPr>
          <w:rFonts w:hint="eastAsia" w:ascii="仿宋_GB2312" w:hAnsi="仿宋_GB2312" w:eastAsia="仿宋_GB2312" w:cs="仿宋_GB2312"/>
          <w:color w:val="000000"/>
          <w:sz w:val="24"/>
        </w:rPr>
        <w:t>。经手人和证明人必须为不同人签名，且证明人必须是经手人的上级。</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按学院领导机关规定，工作餐一般不予报销，特殊情况经常委批准，可酌情予以报销。</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4.按照学院领导机关规定，除却迎新志愿者活动外，其他学生活动一般不允许报销车费，特殊情况经常委批准，可酌情予以报销。</w:t>
      </w:r>
    </w:p>
    <w:p>
      <w:pPr>
        <w:spacing w:after="187" w:line="276" w:lineRule="auto"/>
        <w:ind w:left="360" w:hanging="360" w:hangingChars="1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注意细则：</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定额发票、手写发票发票</w:t>
      </w:r>
      <w:r>
        <w:rPr>
          <w:rFonts w:hint="eastAsia" w:ascii="仿宋_GB2312" w:hAnsi="仿宋_GB2312" w:eastAsia="仿宋_GB2312" w:cs="仿宋_GB2312"/>
          <w:b/>
          <w:color w:val="000000"/>
          <w:sz w:val="24"/>
          <w:u w:val="single"/>
        </w:rPr>
        <w:t>每张必须低于二百元</w:t>
      </w:r>
      <w:r>
        <w:rPr>
          <w:rFonts w:hint="eastAsia" w:ascii="仿宋_GB2312" w:hAnsi="仿宋_GB2312" w:eastAsia="仿宋_GB2312" w:cs="仿宋_GB2312"/>
          <w:color w:val="000000"/>
          <w:sz w:val="24"/>
        </w:rPr>
        <w:t>。</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报销根据合法票据支付，票据必须用黑色笔在背面加注经手人和证明人项目。证明人必须是经手人的上级，且证明人与经手人必须为不同人。（相关事项请写在票据的中间位置，两边留出位置以便粘贴）</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发票上的任何内容不得有涂改的痕迹，发票上必须加盖“发票专用章”，且章上“发票专用号”要清晰。</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顾客名称、地址栏只能写“华南理工大学”。</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所购商品为“食品、 </w:t>
      </w:r>
      <w:r>
        <w:rPr>
          <w:rFonts w:hint="eastAsia" w:ascii="仿宋_GB2312" w:hAnsi="仿宋_GB2312" w:eastAsia="仿宋_GB2312" w:cs="仿宋_GB2312"/>
          <w:color w:val="000000"/>
          <w:sz w:val="24"/>
          <w:highlight w:val="white"/>
        </w:rPr>
        <w:t>生活用品</w:t>
      </w:r>
      <w:r>
        <w:rPr>
          <w:rFonts w:hint="eastAsia" w:ascii="仿宋_GB2312" w:hAnsi="仿宋_GB2312" w:eastAsia="仿宋_GB2312" w:cs="仿宋_GB2312"/>
          <w:color w:val="000000"/>
          <w:sz w:val="24"/>
        </w:rPr>
        <w:t>、药品”的票据原则上不予以报销，如使用以上商品名报销时必须另附电脑小票。（若要报账，必须列出明细清单）</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印有华南理工大学发票专用章的发票不能报销。</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经费开支原则上必须开具发票，发票应须如实反映顾客名称、开支日期、商品名称、数量、金额、开票单位印章，金额大小写务必一致。</w:t>
      </w:r>
      <w:r>
        <w:rPr>
          <w:rFonts w:hint="eastAsia" w:ascii="仿宋_GB2312" w:hAnsi="仿宋_GB2312" w:eastAsia="仿宋_GB2312" w:cs="仿宋_GB2312"/>
          <w:b/>
          <w:color w:val="000000"/>
          <w:sz w:val="24"/>
          <w:u w:val="single"/>
        </w:rPr>
        <w:t>特殊情况不能开发票的</w:t>
      </w:r>
      <w:r>
        <w:rPr>
          <w:rFonts w:hint="eastAsia" w:ascii="仿宋_GB2312" w:hAnsi="仿宋_GB2312" w:eastAsia="仿宋_GB2312" w:cs="仿宋_GB2312"/>
          <w:color w:val="000000"/>
          <w:sz w:val="24"/>
        </w:rPr>
        <w:t>，在主管常委同意下，可开具其他正当的票据，报销时以等额正规发票代替，并附电脑小票以及书面说明。</w:t>
      </w:r>
    </w:p>
    <w:p>
      <w:pPr>
        <w:keepNext w:val="0"/>
        <w:keepLines w:val="0"/>
        <w:pageBreakBefore w:val="0"/>
        <w:widowControl w:val="0"/>
        <w:numPr>
          <w:ilvl w:val="0"/>
          <w:numId w:val="2"/>
        </w:numPr>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所有活动、培训所需费用，需先写好预算交给本部门的主管常委。</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 部门活动经费超过 500元的要做预算，填写预算表格之后把策划连同预算表格一起交给学院相关负责人，活动结束后报销经费，但预算超过1000块时可提前支取部分活动经费。活动结束之后，填写经费结算表格，之后交给生活部，由生活部统一上交学院，进行经费的报销或补足。</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 部门活动经费低于 500元的，由活动部门自己预先支付。活动结束后直接填写结算表格，交与生活部由生活部统一报销。</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360" w:firstLineChars="15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11.生活部有权对记载不准确、不完整的原始凭证予以退回，并要求更正、补充，只报销其中合理部分。</w:t>
      </w:r>
    </w:p>
    <w:p>
      <w:pPr>
        <w:spacing w:line="276" w:lineRule="auto"/>
        <w:ind w:firstLine="480"/>
        <w:rPr>
          <w:rFonts w:hint="eastAsia" w:ascii="仿宋_GB2312" w:hAnsi="仿宋_GB2312" w:eastAsia="仿宋_GB2312" w:cs="仿宋_GB2312"/>
          <w:color w:val="000000"/>
          <w:sz w:val="24"/>
        </w:rPr>
      </w:pPr>
    </w:p>
    <w:p>
      <w:pPr>
        <w:spacing w:line="276" w:lineRule="auto"/>
        <w:ind w:firstLine="480"/>
        <w:rPr>
          <w:rFonts w:hint="eastAsia" w:ascii="仿宋_GB2312" w:hAnsi="仿宋_GB2312" w:eastAsia="仿宋_GB2312" w:cs="仿宋_GB2312"/>
          <w:color w:val="000000"/>
          <w:sz w:val="24"/>
        </w:rPr>
      </w:pPr>
    </w:p>
    <w:p>
      <w:pPr>
        <w:spacing w:line="276" w:lineRule="auto"/>
        <w:ind w:firstLine="2891" w:firstLineChars="1200"/>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（二）经费报销</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一、经费报销流程：</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向学院老师申报经费使用；</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经学院老师同意，使用经费后，开具相应发票；</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在发票后面用黑色墨水笔或签字笔认真填写</w:t>
      </w:r>
    </w:p>
    <w:p>
      <w:pPr>
        <w:spacing w:line="276" w:lineRule="auto"/>
        <w:ind w:left="298"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具体内容如下：</w:t>
      </w:r>
    </w:p>
    <w:p>
      <w:pPr>
        <w:spacing w:line="276" w:lineRule="auto"/>
        <w:ind w:left="718" w:leftChars="342"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经手人：（经费实际使用人）</w:t>
      </w:r>
    </w:p>
    <w:p>
      <w:pPr>
        <w:spacing w:line="276" w:lineRule="auto"/>
        <w:ind w:left="718" w:leftChars="342"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证明人：（部门主管常委或部长签名证明）</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 将发票交到生活部，由生活部负责统一上报到学院。</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二、经费报销注意事项：</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 经费使用必须做到厉行节约。</w:t>
      </w:r>
    </w:p>
    <w:p>
      <w:pPr>
        <w:keepNext w:val="0"/>
        <w:keepLines w:val="0"/>
        <w:pageBreakBefore w:val="0"/>
        <w:widowControl w:val="0"/>
        <w:kinsoku/>
        <w:wordWrap/>
        <w:overflowPunct/>
        <w:topLinePunct w:val="0"/>
        <w:autoSpaceDE/>
        <w:autoSpaceDN/>
        <w:bidi w:val="0"/>
        <w:adjustRightInd/>
        <w:snapToGrid/>
        <w:spacing w:line="276" w:lineRule="auto"/>
        <w:ind w:left="359" w:leftChars="171"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 发票顾客名称必须填写“华南理工大学”，否则不予报销。</w:t>
      </w:r>
    </w:p>
    <w:p>
      <w:pPr>
        <w:keepNext w:val="0"/>
        <w:keepLines w:val="0"/>
        <w:pageBreakBefore w:val="0"/>
        <w:widowControl w:val="0"/>
        <w:kinsoku/>
        <w:wordWrap/>
        <w:overflowPunct/>
        <w:topLinePunct w:val="0"/>
        <w:autoSpaceDE/>
        <w:autoSpaceDN/>
        <w:bidi w:val="0"/>
        <w:adjustRightInd/>
        <w:snapToGrid/>
        <w:spacing w:line="276" w:lineRule="auto"/>
        <w:ind w:left="359" w:leftChars="171" w:right="0" w:rightChars="0" w:firstLine="482" w:firstLineChars="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 销售发票上“品名规格”必须列清所购物品，不得填写“用品”等模糊的品名。</w:t>
      </w:r>
    </w:p>
    <w:p>
      <w:pPr>
        <w:spacing w:line="276" w:lineRule="auto"/>
        <w:ind w:left="359" w:leftChars="171"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 餐饮业发票一律不予报销。</w:t>
      </w:r>
    </w:p>
    <w:p>
      <w:pPr>
        <w:keepNext w:val="0"/>
        <w:keepLines w:val="0"/>
        <w:pageBreakBefore w:val="0"/>
        <w:widowControl w:val="0"/>
        <w:kinsoku/>
        <w:wordWrap/>
        <w:overflowPunct/>
        <w:topLinePunct w:val="0"/>
        <w:autoSpaceDE/>
        <w:autoSpaceDN/>
        <w:bidi w:val="0"/>
        <w:adjustRightInd/>
        <w:snapToGrid/>
        <w:spacing w:line="276" w:lineRule="auto"/>
        <w:ind w:left="239" w:leftChars="114" w:right="0" w:rightChars="0" w:firstLine="240" w:firstLineChars="10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三、本制度最终解释权归华南理工大学</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学院团委学生会所有，一切未尽事宜，由团委学生会讨论决定。</w:t>
      </w:r>
    </w:p>
    <w:p>
      <w:pPr>
        <w:spacing w:line="276" w:lineRule="auto"/>
        <w:ind w:left="480" w:hanging="480" w:hangingChars="200"/>
        <w:rPr>
          <w:rFonts w:hint="eastAsia" w:ascii="仿宋_GB2312" w:hAnsi="仿宋_GB2312" w:eastAsia="仿宋_GB2312" w:cs="仿宋_GB2312"/>
          <w:color w:val="000000"/>
          <w:sz w:val="24"/>
        </w:rPr>
      </w:pPr>
    </w:p>
    <w:p>
      <w:pPr>
        <w:spacing w:line="276" w:lineRule="auto"/>
        <w:ind w:firstLine="480"/>
        <w:jc w:val="center"/>
        <w:rPr>
          <w:rFonts w:hint="eastAsia" w:ascii="仿宋_GB2312" w:hAnsi="仿宋_GB2312" w:eastAsia="仿宋_GB2312" w:cs="仿宋_GB2312"/>
          <w:b/>
          <w:color w:val="000000"/>
          <w:sz w:val="24"/>
        </w:rPr>
      </w:pPr>
    </w:p>
    <w:p>
      <w:pPr>
        <w:spacing w:line="276" w:lineRule="auto"/>
        <w:ind w:firstLine="480"/>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（三）账务公示</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活部负责执行每月一次的财务结算，把账单公示三天。在公示期间，任何同学对帐单有疑问的，都可以要求生活部对其作出解释。发现账单确有问题者，也可以直接向学院学生工作办公室举报。事件处理完成后，要向举报人反馈情况，且把处理结果公示。</w:t>
      </w:r>
    </w:p>
    <w:p>
      <w:pPr>
        <w:ind w:firstLine="480"/>
        <w:rPr>
          <w:rFonts w:hint="eastAsia" w:ascii="仿宋_GB2312" w:hAnsi="仿宋_GB2312" w:eastAsia="仿宋_GB2312" w:cs="仿宋_GB2312"/>
          <w:color w:val="000000"/>
          <w:sz w:val="24"/>
        </w:rPr>
      </w:pPr>
    </w:p>
    <w:p>
      <w:pPr>
        <w:ind w:firstLine="480"/>
        <w:rPr>
          <w:rFonts w:hint="eastAsia" w:ascii="仿宋_GB2312" w:hAnsi="仿宋_GB2312" w:eastAsia="仿宋_GB2312" w:cs="仿宋_GB2312"/>
          <w:color w:val="000000"/>
          <w:sz w:val="24"/>
        </w:rPr>
      </w:pPr>
    </w:p>
    <w:p>
      <w:pPr>
        <w:pStyle w:val="2"/>
        <w:spacing w:line="240" w:lineRule="auto"/>
        <w:ind w:firstLine="480"/>
        <w:jc w:val="center"/>
        <w:rPr>
          <w:rFonts w:hint="eastAsia" w:ascii="仿宋_GB2312" w:hAnsi="仿宋_GB2312" w:eastAsia="仿宋_GB2312" w:cs="仿宋_GB2312"/>
          <w:color w:val="000000"/>
          <w:kern w:val="0"/>
          <w:sz w:val="30"/>
          <w:szCs w:val="30"/>
        </w:rPr>
      </w:pPr>
      <w:bookmarkStart w:id="9" w:name="_Toc17869"/>
      <w:bookmarkStart w:id="10" w:name="_Toc287544118"/>
      <w:bookmarkStart w:id="11" w:name="_Toc350426924"/>
      <w:r>
        <w:rPr>
          <w:rFonts w:hint="eastAsia" w:ascii="仿宋_GB2312" w:hAnsi="仿宋_GB2312" w:eastAsia="仿宋_GB2312" w:cs="仿宋_GB2312"/>
          <w:color w:val="000000"/>
          <w:kern w:val="0"/>
          <w:sz w:val="30"/>
          <w:szCs w:val="30"/>
        </w:rPr>
        <w:t>第三节  经费使用制度</w:t>
      </w:r>
      <w:bookmarkEnd w:id="9"/>
      <w:bookmarkEnd w:id="10"/>
      <w:bookmarkEnd w:id="11"/>
      <w:bookmarkStart w:id="12" w:name="_GoBack"/>
      <w:bookmarkEnd w:id="12"/>
    </w:p>
    <w:p>
      <w:pPr>
        <w:tabs>
          <w:tab w:val="left" w:pos="720"/>
        </w:tabs>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一、本会经费用于本院学生举办学术、宣传、文体、卫生等合法活动及学生会日常办公开支，不得用于与学生会宗旨无关的活动；</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二、日常开支包括购置办公用品、布置会议、培训干部以及通讯联络等的费用，根据学校的有关规定，本会帐户不开列“工作餐”一项；</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三、对于一些数额较大的开支需要预支经费的，可由主管常委开具《借条》到财务主管或团委老师处借款；《借条》应写明金额和具体用途，并在项目结帐后取回；</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四、一些特殊活动或存在协议关系的经费开支须与有关单位和人员协商后再酌情使用；</w:t>
      </w:r>
    </w:p>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五、各个部门使用经费须以服务、节约为原则，坚决杜绝一切不合理的开支。</w:t>
      </w:r>
    </w:p>
    <w:p>
      <w:pPr>
        <w:ind w:firstLine="480"/>
        <w:rPr>
          <w:rFonts w:hint="eastAsia" w:ascii="仿宋_GB2312" w:hAnsi="仿宋_GB2312" w:eastAsia="仿宋_GB2312" w:cs="仿宋_GB2312"/>
          <w:color w:val="000000"/>
          <w:sz w:val="24"/>
        </w:rPr>
      </w:pPr>
    </w:p>
    <w:p>
      <w:pPr>
        <w:ind w:firstLine="480"/>
        <w:rPr>
          <w:rFonts w:hint="eastAsia" w:ascii="仿宋_GB2312" w:hAnsi="仿宋_GB2312" w:eastAsia="仿宋_GB2312" w:cs="仿宋_GB2312"/>
          <w:color w:val="000000"/>
          <w:sz w:val="24"/>
        </w:rPr>
      </w:pPr>
    </w:p>
    <w:p>
      <w:pPr>
        <w:spacing w:line="276" w:lineRule="auto"/>
        <w:ind w:firstLine="5400" w:firstLineChars="22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学院团委•学生会</w:t>
      </w:r>
    </w:p>
    <w:p>
      <w:pPr>
        <w:tabs>
          <w:tab w:val="left" w:pos="6241"/>
        </w:tabs>
        <w:spacing w:line="276" w:lineRule="auto"/>
        <w:ind w:left="-178" w:leftChars="-85" w:right="48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480" w:firstLine="36" w:firstLineChars="15"/>
        <w:jc w:val="right"/>
        <w:rPr>
          <w:rFonts w:hint="eastAsia"/>
          <w:sz w:val="24"/>
        </w:rPr>
      </w:pPr>
    </w:p>
    <w:p>
      <w:pPr>
        <w:ind w:firstLine="480"/>
        <w:rPr>
          <w:rFonts w:hint="eastAsia" w:ascii="仿宋_GB2312" w:hAnsi="仿宋_GB2312" w:eastAsia="仿宋_GB2312" w:cs="仿宋_GB2312"/>
          <w:b/>
          <w:color w:val="000000"/>
          <w:sz w:val="24"/>
        </w:rPr>
      </w:pPr>
    </w:p>
    <w:p>
      <w:pPr>
        <w:ind w:firstLine="480"/>
        <w:rPr>
          <w:rFonts w:hint="eastAsia" w:ascii="仿宋_GB2312" w:hAnsi="仿宋_GB2312" w:eastAsia="仿宋_GB2312" w:cs="仿宋_GB2312"/>
          <w:b/>
          <w:color w:val="000000"/>
          <w:sz w:val="24"/>
        </w:rPr>
      </w:pPr>
    </w:p>
    <w:p>
      <w:pPr>
        <w:ind w:firstLine="480"/>
        <w:rPr>
          <w:rFonts w:hint="eastAsia" w:ascii="仿宋_GB2312" w:hAnsi="仿宋_GB2312" w:eastAsia="仿宋_GB2312" w:cs="仿宋_GB2312"/>
          <w:b/>
          <w:color w:val="000000"/>
          <w:sz w:val="24"/>
        </w:rPr>
      </w:pPr>
    </w:p>
    <w:p>
      <w:pPr>
        <w:ind w:firstLine="480"/>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 xml:space="preserve">附表： </w:t>
      </w:r>
    </w:p>
    <w:p>
      <w:pPr>
        <w:numPr>
          <w:ilvl w:val="0"/>
          <w:numId w:val="3"/>
        </w:numPr>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b/>
          <w:color w:val="000000"/>
          <w:sz w:val="24"/>
        </w:rPr>
        <w:t>经费申请表</w:t>
      </w:r>
    </w:p>
    <w:p>
      <w:pPr>
        <w:ind w:firstLine="480"/>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w:t>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）经费预算</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活动名称：</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主办部门：</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活动时间：</w:t>
      </w:r>
    </w:p>
    <w:tbl>
      <w:tblPr>
        <w:tblStyle w:val="4"/>
        <w:tblW w:w="87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2615"/>
        <w:gridCol w:w="1057"/>
        <w:gridCol w:w="1236"/>
        <w:gridCol w:w="2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174" w:type="dxa"/>
            <w:vAlign w:val="center"/>
          </w:tcPr>
          <w:p>
            <w:pPr>
              <w:spacing w:line="276" w:lineRule="auto"/>
              <w:ind w:firstLine="120" w:firstLineChars="5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序号</w:t>
            </w:r>
          </w:p>
        </w:tc>
        <w:tc>
          <w:tcPr>
            <w:tcW w:w="2615" w:type="dxa"/>
            <w:vAlign w:val="center"/>
          </w:tcPr>
          <w:p>
            <w:pPr>
              <w:spacing w:line="276"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活动经费流向</w:t>
            </w: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w:t>
            </w: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预算金额</w:t>
            </w:r>
          </w:p>
        </w:tc>
        <w:tc>
          <w:tcPr>
            <w:tcW w:w="2682" w:type="dxa"/>
            <w:vAlign w:val="center"/>
          </w:tcPr>
          <w:p>
            <w:pPr>
              <w:spacing w:line="276" w:lineRule="auto"/>
              <w:ind w:firstLine="960" w:firstLineChars="4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restart"/>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8</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17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12</w:t>
            </w:r>
          </w:p>
        </w:tc>
        <w:tc>
          <w:tcPr>
            <w:tcW w:w="2615"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057"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236"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682"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8764" w:type="dxa"/>
            <w:gridSpan w:val="5"/>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预算金额总计：</w:t>
            </w:r>
          </w:p>
        </w:tc>
      </w:tr>
    </w:tbl>
    <w:p>
      <w:pPr>
        <w:spacing w:line="276" w:lineRule="auto"/>
        <w:ind w:firstLine="480"/>
        <w:jc w:val="righ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申请人签名：</w:t>
      </w:r>
    </w:p>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申请时间：</w:t>
      </w:r>
    </w:p>
    <w:p>
      <w:pPr>
        <w:ind w:firstLine="480"/>
        <w:jc w:val="left"/>
        <w:rPr>
          <w:rFonts w:hint="eastAsia" w:ascii="仿宋_GB2312" w:hAnsi="仿宋_GB2312" w:eastAsia="仿宋_GB2312" w:cs="仿宋_GB2312"/>
          <w:color w:val="000000"/>
          <w:sz w:val="24"/>
        </w:rPr>
      </w:pPr>
    </w:p>
    <w:p>
      <w:pPr>
        <w:ind w:firstLine="480"/>
        <w:jc w:val="left"/>
        <w:rPr>
          <w:rFonts w:hint="eastAsia" w:ascii="仿宋_GB2312" w:hAnsi="仿宋_GB2312" w:eastAsia="仿宋_GB2312" w:cs="仿宋_GB2312"/>
          <w:color w:val="000000"/>
          <w:sz w:val="24"/>
        </w:rPr>
      </w:pPr>
    </w:p>
    <w:p>
      <w:pPr>
        <w:numPr>
          <w:ilvl w:val="0"/>
          <w:numId w:val="3"/>
        </w:numPr>
        <w:ind w:firstLine="480"/>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b/>
          <w:color w:val="000000"/>
          <w:sz w:val="24"/>
        </w:rPr>
        <w:t>经费报销结算表</w:t>
      </w:r>
    </w:p>
    <w:p>
      <w:pPr>
        <w:ind w:firstLine="480"/>
        <w:jc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w:t>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ab/>
      </w:r>
      <w:r>
        <w:rPr>
          <w:rFonts w:hint="eastAsia" w:ascii="仿宋_GB2312" w:hAnsi="仿宋_GB2312" w:eastAsia="仿宋_GB2312" w:cs="仿宋_GB2312"/>
          <w:b/>
          <w:color w:val="000000"/>
          <w:sz w:val="24"/>
        </w:rPr>
        <w:t>）经费结算</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活动名称：</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主办部门：</w:t>
      </w:r>
    </w:p>
    <w:p>
      <w:pPr>
        <w:spacing w:line="276" w:lineRule="auto"/>
        <w:ind w:firstLine="48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活动时间：</w:t>
      </w:r>
    </w:p>
    <w:tbl>
      <w:tblPr>
        <w:tblStyle w:val="4"/>
        <w:tblW w:w="91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134"/>
        <w:gridCol w:w="850"/>
        <w:gridCol w:w="851"/>
        <w:gridCol w:w="850"/>
        <w:gridCol w:w="1134"/>
        <w:gridCol w:w="1134"/>
        <w:gridCol w:w="2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序号</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活动经费流向</w:t>
            </w: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w:t>
            </w: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单价</w:t>
            </w: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金额</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经手人</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证明人</w:t>
            </w:r>
          </w:p>
        </w:tc>
        <w:tc>
          <w:tcPr>
            <w:tcW w:w="2335"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restart"/>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8</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12</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834" w:type="dxa"/>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13</w:t>
            </w: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1" w:type="dxa"/>
            <w:vAlign w:val="center"/>
          </w:tcPr>
          <w:p>
            <w:pPr>
              <w:spacing w:line="276" w:lineRule="auto"/>
              <w:ind w:firstLine="480"/>
              <w:jc w:val="center"/>
              <w:rPr>
                <w:rFonts w:hint="eastAsia" w:ascii="仿宋_GB2312" w:hAnsi="仿宋_GB2312" w:eastAsia="仿宋_GB2312" w:cs="仿宋_GB2312"/>
                <w:color w:val="000000"/>
                <w:sz w:val="24"/>
              </w:rPr>
            </w:pPr>
          </w:p>
        </w:tc>
        <w:tc>
          <w:tcPr>
            <w:tcW w:w="850"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1134" w:type="dxa"/>
            <w:vAlign w:val="center"/>
          </w:tcPr>
          <w:p>
            <w:pPr>
              <w:spacing w:line="276" w:lineRule="auto"/>
              <w:ind w:firstLine="480"/>
              <w:jc w:val="center"/>
              <w:rPr>
                <w:rFonts w:hint="eastAsia" w:ascii="仿宋_GB2312" w:hAnsi="仿宋_GB2312" w:eastAsia="仿宋_GB2312" w:cs="仿宋_GB2312"/>
                <w:color w:val="000000"/>
                <w:sz w:val="24"/>
              </w:rPr>
            </w:pPr>
          </w:p>
        </w:tc>
        <w:tc>
          <w:tcPr>
            <w:tcW w:w="2335" w:type="dxa"/>
            <w:vMerge w:val="continue"/>
            <w:vAlign w:val="center"/>
          </w:tcPr>
          <w:p>
            <w:pPr>
              <w:spacing w:line="276" w:lineRule="auto"/>
              <w:ind w:firstLine="480"/>
              <w:jc w:val="center"/>
              <w:rPr>
                <w:rFonts w:hint="eastAsia" w:ascii="仿宋_GB2312" w:hAnsi="仿宋_GB2312" w:eastAsia="仿宋_GB2312"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jc w:val="center"/>
        </w:trPr>
        <w:tc>
          <w:tcPr>
            <w:tcW w:w="9122" w:type="dxa"/>
            <w:gridSpan w:val="8"/>
            <w:vAlign w:val="center"/>
          </w:tcPr>
          <w:p>
            <w:pPr>
              <w:spacing w:line="276" w:lineRule="auto"/>
              <w:ind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实际金额总计：                          预算金额总计：</w:t>
            </w:r>
          </w:p>
        </w:tc>
      </w:tr>
    </w:tbl>
    <w:p>
      <w:pPr>
        <w:spacing w:line="276" w:lineRule="auto"/>
        <w:ind w:right="600" w:firstLine="480"/>
        <w:jc w:val="righ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报账人签名：</w:t>
      </w:r>
    </w:p>
    <w:p>
      <w:pPr>
        <w:spacing w:line="276" w:lineRule="auto"/>
        <w:ind w:right="600" w:firstLine="48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报账日期：</w:t>
      </w:r>
    </w:p>
    <w:p>
      <w:pPr>
        <w:ind w:firstLine="480"/>
        <w:rPr>
          <w:rFonts w:hint="eastAsia" w:ascii="仿宋_GB2312" w:hAnsi="仿宋_GB2312" w:eastAsia="仿宋_GB2312" w:cs="仿宋_GB2312"/>
          <w:color w:val="000000"/>
          <w:sz w:val="24"/>
        </w:rPr>
      </w:pPr>
    </w:p>
    <w:p>
      <w:pPr>
        <w:spacing w:line="276" w:lineRule="auto"/>
        <w:ind w:right="600" w:firstLine="480"/>
        <w:jc w:val="center"/>
        <w:rPr>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26B5B"/>
    <w:multiLevelType w:val="multilevel"/>
    <w:tmpl w:val="3EB26B5B"/>
    <w:lvl w:ilvl="0" w:tentative="0">
      <w:start w:val="1"/>
      <w:numFmt w:val="decimal"/>
      <w:lvlText w:val="%1."/>
      <w:lvlJc w:val="left"/>
      <w:pPr>
        <w:ind w:left="360" w:hanging="36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D555FD2"/>
    <w:multiLevelType w:val="multilevel"/>
    <w:tmpl w:val="5D555FD2"/>
    <w:lvl w:ilvl="0" w:tentative="0">
      <w:start w:val="1"/>
      <w:numFmt w:val="decimal"/>
      <w:lvlText w:val="%1."/>
      <w:lvlJc w:val="left"/>
      <w:pPr>
        <w:tabs>
          <w:tab w:val="left" w:pos="435"/>
        </w:tabs>
        <w:ind w:left="435" w:hanging="4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0084221"/>
    <w:multiLevelType w:val="multilevel"/>
    <w:tmpl w:val="70084221"/>
    <w:lvl w:ilvl="0" w:tentative="0">
      <w:start w:val="1"/>
      <w:numFmt w:val="decimal"/>
      <w:lvlText w:val="%1."/>
      <w:lvlJc w:val="left"/>
      <w:pPr>
        <w:tabs>
          <w:tab w:val="left" w:pos="360"/>
        </w:tabs>
        <w:ind w:left="360" w:hanging="36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484DE7"/>
    <w:rsid w:val="0C484DE7"/>
    <w:rsid w:val="448555E6"/>
    <w:rsid w:val="7D6411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5">
    <w:name w:val="标题2"/>
    <w:basedOn w:val="1"/>
    <w:qFormat/>
    <w:uiPriority w:val="0"/>
    <w:pPr>
      <w:keepNext/>
      <w:keepLines/>
      <w:spacing w:before="260" w:after="260" w:line="416" w:lineRule="auto"/>
      <w:jc w:val="center"/>
      <w:outlineLvl w:val="1"/>
    </w:pPr>
    <w:rPr>
      <w:rFonts w:ascii="华文中宋" w:hAnsi="华文中宋" w:eastAsia="华文中宋"/>
      <w:b/>
      <w:bCs/>
      <w:sz w:val="32"/>
      <w:szCs w:val="32"/>
    </w:rPr>
  </w:style>
  <w:style w:type="paragraph" w:customStyle="1" w:styleId="6">
    <w:name w:val="_Style 4"/>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2018-03-13T02:20:00Z</dcterms:created>
  <dc:creator>Administrator</dc:creator>
  <cp:lastModifiedBy>❤、Serena</cp:lastModifiedBy>
  <dcterms:modified xsi:type="dcterms:W3CDTF">2018-03-13T12:45:18Z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